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u w:val="none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u w:val="none"/>
          <w:shd w:val="clear" w:color="auto" w:fill="FFFFFF"/>
          <w:lang w:val="en-US" w:eastAsia="zh-CN"/>
        </w:rPr>
        <w:t>1：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 w:val="0"/>
          <w:kern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 w:val="0"/>
          <w:kern w:val="0"/>
          <w:sz w:val="36"/>
          <w:szCs w:val="36"/>
          <w:u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  <w:u w:val="none"/>
          <w:shd w:val="clear" w:color="auto" w:fill="FFFFFF"/>
          <w:lang w:val="en-US" w:eastAsia="zh-CN"/>
        </w:rPr>
        <w:t>泉州城建集团部分权属企业简介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 w:val="0"/>
          <w:kern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泉州市城建国有资产投资有限公司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（简称“城建国投公司”）是泉州城建集团权属企业，成立于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月，注册资本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亿元，主体信用评级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AA+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。主要负责城东组团开发建设，承担着城东组团土地一级开发、基础设施建设等重大任务。自成立以来，公司致力于城东片区开发建设，先后开发建设完成公共配套、基础配套等项目共计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个，包含大坪山隧道及接线道路、城东学园五中校区及丰泽幼儿园、美仙山花苑、浔美滞洪湖景观公园等项目。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泉州市住宅建设开发有限公司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（简称“住宅开发公司”）是泉州城建集团权属企业，资产总额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215.87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亿元。公司主要经营片区改造开发、城建项目投资建设、国有资产租赁管理等。近年来致力于北峰-丰州组团开发建设，构建高速、快线多元立体交通网络体系；实施城市景观提升工程刷新城市颜值；持续抓防洪排涝治理，缓解片区内涝难题；建成龙兴小区、东宝花苑保障性住房小区等安居保障项目，实现群众安居梦。公司承接西华洋片区改造任务，总投资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223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亿元，改造后将进一步完善片区功能配套，提升城市排水防涝能力和群众居住生活品质，打造宜居宜业的泉州动车站城市门户形象。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泉州市东海投资管理有限公司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（简称“东海投资公司”）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是泉州城建集团权属企业，注册资金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3.56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亿元，资产总额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190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亿元，负责东海组团开发建设，承担东海后埔、后渚、云山、金崎等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万亩更新改造工作，主要经营对政府项目投资和资产管理、国有资产的租赁及其管理、房地产开发等。由公司承建的东海隧道、海星小区扩建、滨海公园、云山小区、泉州东海学园等多个项目，荣获市刺桐杯、省闽江杯、鲁班奖等诸多荣誉。公司下设权属企业房地产开发公司、东海园林公司，积极拓展房地产开发、项目代建、动迁咨询、白蚁防治以及园林绿化等业务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泉州市建筑产业化有限责任公司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（简称“建筑产业公司”）是泉州城建集团权属企业，公司主业定位为装配式建筑部品部件生产、销售、研发等装配式建筑产业化全链条运营，拓展经营铝合金产品（铝合金门窗、铝模、爬架、市政产品）、抗震支架和阻尼器、建筑工地围挡及临设等产品。公司已投产的“泉州绿色建设产业园”在全省范围内累计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多个项目（建筑面积约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万平方米），提供约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万立方装配式部品构件产品。目前，公司正推进洛江基地（二期）项目建设，以“完善建筑产业化装配式部品部件产品链条、转化落地新型绿色建材、凝聚建筑产业化发展核心要素”为目的，通过建筑产业化拓展和整合，发展产业全链条，打造产业联盟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泉州城建工程管理咨询有限公司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（简称“工程管理公司”）</w:t>
      </w:r>
      <w:r>
        <w:rPr>
          <w:rFonts w:hint="eastAsia" w:ascii="仿宋_GB2312" w:hAnsi="仿宋_GB2312" w:eastAsia="仿宋_GB2312" w:cs="仿宋_GB2312"/>
          <w:sz w:val="30"/>
          <w:szCs w:val="30"/>
        </w:rPr>
        <w:t>是泉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州城建集团权属企业，注册资金5亿元，主要负责江南组团开发建设。公司按照“产业先行、策划引领、规划抓手”的发展思路，坚持“让城市发展更有温度、让市民生活更有质感”的建设理念，全力推动江南组团开发建设，不断提升组团整体价值，提高城市品质，完善泉州“南大门”形象。目前，公司正按照市委市政府决策部署，有序推进金鲤大桥、金鲤大道、乌石滞洪区、乌石山公园等多个项目的建设，策划金鲤周边片区、乌石-展览城片区城市更新，助力江南组团飞跃提升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泉州建工集团有限公司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（简称“建工集团”）是泉州城建集团权属企业，拥有建筑工程施工总承包壹级资质、房地产开发资质及其他多项专业承包资质，通过“政府业务+市场业务”，做大做强施工核心业务，打造城建施工品牌，助力海丝新城建设与发展。公司以建筑施工为主营业务，并承担鲤城区、丰泽区老旧片区（古城外）改造建设及金屿大桥等三个通道重点项目建设任务。近年来，先后承接妇产医院、正骨医院、医高专学生公寓等建设项目，泉州市档案综合大楼及立体停车楼、石狮市教育基础设施建设PPP项目、市二实小城东北校区、乐居系安商房和水墨系商品房等项目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none"/>
          <w:shd w:val="clear" w:color="auto" w:fill="FFFFFF"/>
          <w:lang w:val="en-US" w:eastAsia="zh-CN"/>
        </w:rPr>
        <w:t>泉州城建地产集团有限责任公司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  <w:t>（简称“城建地产集团”）是泉州城建集团权属企业，注册资金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  <w:t>亿元，主营业务形成以房地产开发为核心，物业管理及地产上下游产业链业务拓展并行的“一核两翼”格局，并制定了与片区企业、县区国企联动开发等“四轮驱动”战略实施路径。公司内设9个职能部室、3个事业部，有权属企业城乡物业公司、弘毅置业公司、弘晟置业公司及弘泽置业公司等。已开发的“水墨系”地产项目取得了较好的经济效益和社会效益，兼具“知名度”与“美誉度”， 如“城建·水墨兰庭、水墨芳林、水墨华庭、水墨芳华”等，新拓展“乐居系”产品系列，产品类型日益丰富。集团将继续深耕地产领域，致力于打造“泉州城建地产”品牌，以国匠精神、城建品牌打造人居标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6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泉州城建产业投资有限责任公司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（简称“城建产投公司”）是泉州城建集团权属企业，注册资本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亿元。公司主要负责产业投资业务板块，是“集团国有资本运作及产业投资培育平台”，主营产业投资、商业保理、商业管理、投资基金和大宗贸易等业务。公司旗下管理商业保理公司、私募基金公司（筹），城建中城公司（控股）、城建商业管理公司（参股）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家公司。围绕“投资+运营+金融服务”形成全链条业务体系，依托集团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“AAA”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金字招牌，发挥金融牌照作用，为产业投资赋能的同时，提高集团整体资本运营效率和资本回报，全力带动集团产融结合战略的可持续发展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shd w:val="clear" w:color="auto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4868D"/>
    <w:multiLevelType w:val="singleLevel"/>
    <w:tmpl w:val="7EC4868D"/>
    <w:lvl w:ilvl="0" w:tentative="0">
      <w:start w:val="1"/>
      <w:numFmt w:val="decimal"/>
      <w:suff w:val="nothing"/>
      <w:lvlText w:val="%1．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NDA4NWEwM2U0Zjc0ZmE5NmRiMDQ4OTYwNzNhNTMifQ=="/>
  </w:docVars>
  <w:rsids>
    <w:rsidRoot w:val="162A09B6"/>
    <w:rsid w:val="162A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420" w:leftChars="200"/>
    </w:pPr>
    <w:rPr>
      <w:kern w:val="0"/>
      <w:sz w:val="20"/>
      <w:szCs w:val="20"/>
    </w:rPr>
  </w:style>
  <w:style w:type="paragraph" w:styleId="3">
    <w:name w:val="Body Text First Indent 2"/>
    <w:basedOn w:val="2"/>
    <w:qFormat/>
    <w:uiPriority w:val="99"/>
    <w:pPr>
      <w:ind w:firstLine="420" w:firstLineChars="200"/>
    </w:p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2023-06-14T11:33:00Z</dcterms:created>
  <dc:creator>半夏染</dc:creator>
  <cp:lastModifiedBy>半夏染</cp:lastModifiedBy>
  <dcterms:modified xsi:type="dcterms:W3CDTF">2023-06-14T11:33:49Z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679985AD4F9943909AE5AF9112330D8D_11</vt:lpwstr>
  </property>
</Properties>
</file>